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768" w:type="dxa"/>
        <w:jc w:val="left"/>
        <w:tblInd w:w="-372" w:type="dxa"/>
        <w:tblBorders/>
        <w:tblCellMar>
          <w:top w:w="0" w:type="dxa"/>
          <w:left w:w="108" w:type="dxa"/>
          <w:bottom w:w="0" w:type="dxa"/>
          <w:right w:w="108" w:type="dxa"/>
        </w:tblCellMar>
        <w:tblLook w:noVBand="0" w:val="0000" w:noHBand="0" w:lastColumn="0" w:firstColumn="0" w:lastRow="0" w:firstRow="0"/>
      </w:tblPr>
      <w:tblGrid>
        <w:gridCol w:w="1647"/>
        <w:gridCol w:w="9121"/>
      </w:tblGrid>
      <w:tr>
        <w:trPr/>
        <w:tc>
          <w:tcPr>
            <w:tcW w:w="1647" w:type="dxa"/>
            <w:tcBorders/>
            <w:shd w:fill="auto" w:val="clear"/>
          </w:tcPr>
          <w:p>
            <w:pPr>
              <w:pStyle w:val="Normal"/>
              <w:tabs>
                <w:tab w:val="right" w:pos="369" w:leader="none"/>
                <w:tab w:val="left" w:pos="451" w:leader="none"/>
              </w:tabs>
              <w:spacing w:before="40" w:after="40"/>
              <w:jc w:val="both"/>
              <w:rPr>
                <w:rFonts w:ascii="Century Gothic" w:hAnsi="Century Gothic" w:cs="Arial"/>
                <w:b/>
                <w:b/>
                <w:bCs/>
                <w:sz w:val="24"/>
                <w:szCs w:val="24"/>
              </w:rPr>
            </w:pPr>
            <w:r>
              <w:rPr>
                <w:rFonts w:cs="Arial" w:ascii="Century Gothic" w:hAnsi="Century Gothic"/>
                <w:b/>
                <w:bCs/>
                <w:sz w:val="24"/>
                <w:szCs w:val="24"/>
              </w:rPr>
            </w:r>
          </w:p>
        </w:tc>
        <w:tc>
          <w:tcPr>
            <w:tcW w:w="9121" w:type="dxa"/>
            <w:tcBorders/>
            <w:shd w:fill="auto" w:val="clear"/>
          </w:tcPr>
          <w:p>
            <w:pPr>
              <w:pStyle w:val="Normal"/>
              <w:tabs>
                <w:tab w:val="right" w:pos="329" w:leader="none"/>
                <w:tab w:val="left" w:pos="567" w:leader="none"/>
              </w:tabs>
              <w:spacing w:before="40" w:after="40"/>
              <w:ind w:left="567" w:hanging="567"/>
              <w:rPr/>
            </w:pPr>
            <w:r>
              <w:rPr>
                <w:rFonts w:cs="Arial" w:ascii="Century Gothic" w:hAnsi="Century Gothic"/>
                <w:sz w:val="24"/>
                <w:szCs w:val="24"/>
              </w:rPr>
              <w:t xml:space="preserve">                                            </w:t>
            </w:r>
            <w:r>
              <w:rPr>
                <w:rFonts w:cs="Arial" w:ascii="Century Gothic" w:hAnsi="Century Gothic"/>
                <w:sz w:val="24"/>
                <w:szCs w:val="24"/>
              </w:rPr>
              <w:t>IIM AWARDS</w:t>
            </w:r>
          </w:p>
        </w:tc>
      </w:tr>
      <w:tr>
        <w:trPr/>
        <w:tc>
          <w:tcPr>
            <w:tcW w:w="1647" w:type="dxa"/>
            <w:tcBorders/>
            <w:shd w:fill="auto" w:val="clear"/>
          </w:tcPr>
          <w:p>
            <w:pPr>
              <w:pStyle w:val="Normal"/>
              <w:tabs>
                <w:tab w:val="right" w:pos="369" w:leader="none"/>
                <w:tab w:val="left" w:pos="451" w:leader="none"/>
              </w:tabs>
              <w:spacing w:before="40" w:after="40"/>
              <w:jc w:val="both"/>
              <w:rPr>
                <w:rFonts w:ascii="Century Gothic" w:hAnsi="Century Gothic" w:cs="Arial"/>
                <w:b/>
                <w:b/>
                <w:bCs/>
                <w:sz w:val="24"/>
                <w:szCs w:val="24"/>
              </w:rPr>
            </w:pPr>
            <w:r>
              <w:rPr>
                <w:rFonts w:cs="Arial" w:ascii="Century Gothic" w:hAnsi="Century Gothic"/>
                <w:b/>
                <w:bCs/>
                <w:sz w:val="24"/>
                <w:szCs w:val="24"/>
              </w:rPr>
            </w:r>
          </w:p>
        </w:tc>
        <w:tc>
          <w:tcPr>
            <w:tcW w:w="9121" w:type="dxa"/>
            <w:tcBorders/>
            <w:shd w:fill="auto" w:val="clear"/>
          </w:tcPr>
          <w:p>
            <w:pPr>
              <w:pStyle w:val="Normal"/>
              <w:tabs>
                <w:tab w:val="right" w:pos="329" w:leader="none"/>
                <w:tab w:val="left" w:pos="567" w:leader="none"/>
              </w:tabs>
              <w:spacing w:before="40" w:after="40"/>
              <w:ind w:left="567" w:hanging="567"/>
              <w:jc w:val="both"/>
              <w:rPr>
                <w:rFonts w:ascii="Century Gothic" w:hAnsi="Century Gothic" w:cs="Arial"/>
                <w:b/>
                <w:b/>
                <w:sz w:val="20"/>
              </w:rPr>
            </w:pPr>
            <w:r>
              <w:rPr>
                <w:rFonts w:cs="Arial" w:ascii="Century Gothic" w:hAnsi="Century Gothic"/>
                <w:b/>
                <w:sz w:val="20"/>
              </w:rPr>
            </w:r>
          </w:p>
        </w:tc>
      </w:tr>
      <w:tr>
        <w:trPr/>
        <w:tc>
          <w:tcPr>
            <w:tcW w:w="1647"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4"/>
                <w:szCs w:val="24"/>
              </w:rPr>
              <w:t>16</w:t>
            </w:r>
          </w:p>
        </w:tc>
        <w:tc>
          <w:tcPr>
            <w:tcW w:w="912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 xml:space="preserve">Name of the Medal: </w:t>
            </w:r>
            <w:r>
              <w:rPr>
                <w:rFonts w:cs="Arial" w:ascii="Century Gothic" w:hAnsi="Century Gothic"/>
                <w:b/>
                <w:i/>
                <w:iCs/>
              </w:rPr>
              <w:t xml:space="preserve"> </w:t>
            </w:r>
            <w:r>
              <w:rPr>
                <w:rFonts w:cs="Arial" w:ascii="Century Gothic" w:hAnsi="Century Gothic"/>
                <w:b/>
                <w:i/>
                <w:iCs/>
                <w:sz w:val="24"/>
                <w:szCs w:val="24"/>
              </w:rPr>
              <w:t xml:space="preserve">IIM- </w:t>
            </w:r>
            <w:bookmarkStart w:id="0" w:name="__DdeLink__4175_4171927125"/>
            <w:r>
              <w:rPr>
                <w:rFonts w:cs="Arial" w:ascii="Century Gothic" w:hAnsi="Century Gothic"/>
                <w:b/>
                <w:i/>
                <w:iCs/>
                <w:sz w:val="24"/>
                <w:szCs w:val="24"/>
              </w:rPr>
              <w:t>VIDYA BHARATHI</w:t>
            </w:r>
            <w:bookmarkEnd w:id="0"/>
            <w:r>
              <w:rPr>
                <w:rFonts w:cs="Arial" w:ascii="Century Gothic" w:hAnsi="Century Gothic"/>
                <w:b/>
                <w:i/>
                <w:iCs/>
                <w:sz w:val="24"/>
                <w:szCs w:val="24"/>
              </w:rPr>
              <w:t xml:space="preserve"> PRIZE</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16.1</w:t>
            </w:r>
          </w:p>
        </w:tc>
        <w:tc>
          <w:tcPr>
            <w:tcW w:w="912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40" w:after="40"/>
              <w:jc w:val="both"/>
              <w:rPr/>
            </w:pPr>
            <w:r>
              <w:rPr>
                <w:rFonts w:cs="Arial" w:ascii="Century Gothic" w:hAnsi="Century Gothic"/>
                <w:sz w:val="20"/>
              </w:rPr>
              <w:t xml:space="preserve">The Vidya Bharathi Prize was established in 1978. </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16.1.1</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Periodicity:</w:t>
            </w:r>
          </w:p>
          <w:p>
            <w:pPr>
              <w:pStyle w:val="Normal"/>
              <w:tabs>
                <w:tab w:val="right" w:pos="369" w:leader="none"/>
                <w:tab w:val="left" w:pos="451" w:leader="none"/>
              </w:tabs>
              <w:spacing w:before="40" w:after="40"/>
              <w:jc w:val="both"/>
              <w:rPr/>
            </w:pPr>
            <w:r>
              <w:rPr>
                <w:rFonts w:cs="Arial" w:ascii="Century Gothic" w:hAnsi="Century Gothic"/>
                <w:bCs/>
                <w:sz w:val="20"/>
              </w:rPr>
              <w:t>Only one award will be given every year.</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16.1.2</w:t>
            </w:r>
          </w:p>
        </w:tc>
        <w:tc>
          <w:tcPr>
            <w:tcW w:w="9121" w:type="dxa"/>
            <w:tcBorders/>
            <w:shd w:fill="auto" w:val="clear"/>
          </w:tcPr>
          <w:p>
            <w:pPr>
              <w:pStyle w:val="Normal"/>
              <w:tabs>
                <w:tab w:val="right" w:pos="369" w:leader="none"/>
                <w:tab w:val="left" w:pos="451" w:leader="none"/>
              </w:tabs>
              <w:spacing w:before="40" w:after="40"/>
              <w:jc w:val="both"/>
              <w:rPr/>
            </w:pPr>
            <w:r>
              <w:rPr>
                <w:rFonts w:ascii="Century Gothic" w:hAnsi="Century Gothic"/>
                <w:bCs/>
                <w:sz w:val="20"/>
              </w:rPr>
              <w:t>In the absence of a suitable candidate in the year under consideration, the Council may not give the award that year.</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16.1.3</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Posthumous Selection:</w:t>
            </w:r>
          </w:p>
          <w:p>
            <w:pPr>
              <w:pStyle w:val="Normal"/>
              <w:spacing w:before="40" w:after="40"/>
              <w:jc w:val="both"/>
              <w:rPr/>
            </w:pPr>
            <w:r>
              <w:rPr>
                <w:rFonts w:ascii="Century Gothic" w:hAnsi="Century Gothic"/>
                <w:bCs/>
                <w:sz w:val="20"/>
              </w:rPr>
              <w:t>Awards shall not include posthumous selection.</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16.1.4</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Description of the Prize</w:t>
            </w:r>
            <w:r>
              <w:rPr>
                <w:rFonts w:cs="Arial" w:ascii="Century Gothic" w:hAnsi="Century Gothic"/>
                <w:sz w:val="20"/>
              </w:rPr>
              <w:t xml:space="preserve"> :</w:t>
            </w:r>
          </w:p>
          <w:p>
            <w:pPr>
              <w:pStyle w:val="Normal"/>
              <w:tabs>
                <w:tab w:val="right" w:pos="369" w:leader="none"/>
                <w:tab w:val="left" w:pos="451" w:leader="none"/>
              </w:tabs>
              <w:spacing w:before="40" w:after="40"/>
              <w:jc w:val="both"/>
              <w:rPr/>
            </w:pPr>
            <w:r>
              <w:rPr>
                <w:rFonts w:cs="Arial" w:ascii="Century Gothic" w:hAnsi="Century Gothic"/>
                <w:sz w:val="20"/>
              </w:rPr>
              <w:t xml:space="preserve">A cash prize of Rs 1500/-, accompanied with a scroll of Honor. </w:t>
            </w:r>
          </w:p>
        </w:tc>
      </w:tr>
      <w:tr>
        <w:trPr/>
        <w:tc>
          <w:tcPr>
            <w:tcW w:w="1647"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16.2</w:t>
            </w:r>
          </w:p>
        </w:tc>
        <w:tc>
          <w:tcPr>
            <w:tcW w:w="9121" w:type="dxa"/>
            <w:tcBorders/>
            <w:shd w:fill="auto" w:val="clear"/>
          </w:tcPr>
          <w:p>
            <w:pPr>
              <w:pStyle w:val="Normal"/>
              <w:spacing w:before="40" w:after="40"/>
              <w:ind w:left="-468" w:firstLine="468"/>
              <w:jc w:val="both"/>
              <w:rPr/>
            </w:pPr>
            <w:r>
              <w:rPr>
                <w:rFonts w:cs="Arial" w:ascii="Century Gothic" w:hAnsi="Century Gothic"/>
                <w:b/>
                <w:sz w:val="20"/>
              </w:rPr>
              <w:t>Purpose of the Award:</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16.2.1</w:t>
            </w:r>
          </w:p>
        </w:tc>
        <w:tc>
          <w:tcPr>
            <w:tcW w:w="912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sz w:val="20"/>
              </w:rPr>
              <w:t>The Award is presented to the candidate securing highest grade in order of merit in the Final B. Tech Examinations conducted by Indian Institutes of Technology and  Institutes of Technology. Candidates will be considered for the Award based on performance in the Examinations held in the session immediately preceding the  year of Award distribution</w:t>
            </w:r>
          </w:p>
        </w:tc>
      </w:tr>
      <w:tr>
        <w:trPr/>
        <w:tc>
          <w:tcPr>
            <w:tcW w:w="1647" w:type="dxa"/>
            <w:tcBorders/>
            <w:shd w:fill="auto" w:val="clear"/>
          </w:tcPr>
          <w:p>
            <w:pPr>
              <w:pStyle w:val="Normal"/>
              <w:tabs>
                <w:tab w:val="right" w:pos="329" w:leader="none"/>
                <w:tab w:val="left" w:pos="567" w:leader="none"/>
              </w:tabs>
              <w:spacing w:before="40" w:after="40"/>
              <w:jc w:val="both"/>
              <w:rPr/>
            </w:pPr>
            <w:r>
              <w:rPr>
                <w:rFonts w:cs="Arial" w:ascii="Century Gothic" w:hAnsi="Century Gothic"/>
                <w:sz w:val="20"/>
              </w:rPr>
              <w:t xml:space="preserve">16.3                    </w:t>
            </w:r>
          </w:p>
        </w:tc>
        <w:tc>
          <w:tcPr>
            <w:tcW w:w="9121" w:type="dxa"/>
            <w:tcBorders/>
            <w:shd w:fill="auto" w:val="clear"/>
          </w:tcPr>
          <w:p>
            <w:pPr>
              <w:pStyle w:val="Normal"/>
              <w:spacing w:before="40" w:after="40"/>
              <w:jc w:val="both"/>
              <w:rPr/>
            </w:pPr>
            <w:r>
              <w:rPr>
                <w:rFonts w:cs="Arial" w:ascii="Century Gothic" w:hAnsi="Century Gothic"/>
                <w:b/>
                <w:sz w:val="20"/>
              </w:rPr>
              <w:t>Eligibility :</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16.3.1</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Students appeared in the Final B Tech Examinations conducted by the Indian Institutes of Technology are eligible. All Institutions shall nominate only the best performer for this Award.</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16.3.2</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IIM Membership : Not mandatory</w:t>
            </w:r>
            <w:r>
              <w:rPr>
                <w:rFonts w:cs="Arial" w:ascii="Century Gothic" w:hAnsi="Century Gothic"/>
                <w:sz w:val="20"/>
              </w:rPr>
              <w:t>.</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16.3.3</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Singular / Joint Award: Singular.</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16.3.4</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 xml:space="preserve">Age: </w:t>
            </w:r>
            <w:r>
              <w:rPr>
                <w:rFonts w:cs="Arial" w:ascii="Century Gothic" w:hAnsi="Century Gothic"/>
                <w:sz w:val="20"/>
              </w:rPr>
              <w:t>Open.</w:t>
            </w:r>
          </w:p>
        </w:tc>
      </w:tr>
      <w:tr>
        <w:trPr/>
        <w:tc>
          <w:tcPr>
            <w:tcW w:w="1647"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16.4</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Nomination:</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16.4.1</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Candidates nominated by concerned authority of the Indian Institutes of Technology</w:t>
            </w:r>
            <w:r>
              <w:rPr>
                <w:rFonts w:cs="Arial" w:ascii="Century Gothic" w:hAnsi="Century Gothic"/>
                <w:i/>
                <w:iCs/>
                <w:sz w:val="20"/>
              </w:rPr>
              <w:t>.</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16.4.2</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 xml:space="preserve">The nominations are invited in the prescribed format issued by the Secretary General of the Indian Institute of Metals.  </w:t>
            </w:r>
          </w:p>
        </w:tc>
      </w:tr>
      <w:tr>
        <w:trPr/>
        <w:tc>
          <w:tcPr>
            <w:tcW w:w="1647"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16.5</w:t>
            </w:r>
          </w:p>
        </w:tc>
        <w:tc>
          <w:tcPr>
            <w:tcW w:w="912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Presentation :</w:t>
            </w:r>
          </w:p>
          <w:p>
            <w:pPr>
              <w:pStyle w:val="Normal"/>
              <w:tabs>
                <w:tab w:val="right" w:pos="369" w:leader="none"/>
                <w:tab w:val="left" w:pos="451" w:leader="none"/>
              </w:tabs>
              <w:spacing w:before="40" w:after="40"/>
              <w:jc w:val="both"/>
              <w:rPr/>
            </w:pPr>
            <w:r>
              <w:rPr>
                <w:rFonts w:cs="Arial" w:ascii="Century Gothic" w:hAnsi="Century Gothic"/>
                <w:sz w:val="20"/>
              </w:rPr>
              <w:t xml:space="preserve">The Vidya Bharathi Prize accompanied with a scroll of honor will be formally presented to the recipient during the Annual Technical Meeting of The Indian Institute of Metals. </w:t>
            </w:r>
          </w:p>
        </w:tc>
      </w:tr>
      <w:tr>
        <w:trPr/>
        <w:tc>
          <w:tcPr>
            <w:tcW w:w="1647"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16.6</w:t>
            </w:r>
          </w:p>
        </w:tc>
        <w:tc>
          <w:tcPr>
            <w:tcW w:w="9121" w:type="dxa"/>
            <w:tcBorders/>
            <w:shd w:fill="auto" w:val="clear"/>
          </w:tcPr>
          <w:p>
            <w:pPr>
              <w:pStyle w:val="Normal"/>
              <w:tabs>
                <w:tab w:val="right" w:pos="329" w:leader="none"/>
                <w:tab w:val="left" w:pos="567" w:leader="none"/>
              </w:tabs>
              <w:spacing w:before="40" w:after="40"/>
              <w:ind w:left="567" w:right="2038" w:hanging="567"/>
              <w:rPr/>
            </w:pPr>
            <w:r>
              <w:rPr>
                <w:rFonts w:cs="Arial" w:ascii="Century Gothic" w:hAnsi="Century Gothic"/>
                <w:b/>
                <w:bCs/>
                <w:sz w:val="20"/>
              </w:rPr>
              <w:t>Selection Committee Guidelines:</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16.6.1</w:t>
            </w:r>
          </w:p>
        </w:tc>
        <w:tc>
          <w:tcPr>
            <w:tcW w:w="912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bCs/>
                <w:sz w:val="20"/>
              </w:rPr>
              <w:t>The IIM Awards Committee as approved by the Council shall meet to consider the recommendation of the Head of the Departments and make its recommendations to the National Council.</w:t>
            </w:r>
          </w:p>
        </w:tc>
      </w:tr>
      <w:tr>
        <w:trPr/>
        <w:tc>
          <w:tcPr>
            <w:tcW w:w="1647"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16.6.2</w:t>
            </w:r>
          </w:p>
        </w:tc>
        <w:tc>
          <w:tcPr>
            <w:tcW w:w="9121" w:type="dxa"/>
            <w:tcBorders/>
            <w:shd w:fill="auto" w:val="clear"/>
          </w:tcPr>
          <w:p>
            <w:pPr>
              <w:pStyle w:val="Heading2"/>
              <w:tabs>
                <w:tab w:val="clear" w:pos="306"/>
              </w:tabs>
              <w:spacing w:lineRule="auto" w:line="240" w:before="40" w:after="40"/>
              <w:rPr/>
            </w:pPr>
            <w:r>
              <w:rPr>
                <w:rFonts w:cs="Arial" w:ascii="Century Gothic" w:hAnsi="Century Gothic"/>
                <w:b w:val="false"/>
                <w:bCs/>
                <w:sz w:val="20"/>
              </w:rPr>
              <w:t>The Council of The Indian Institute of Metals will be the sole authority to decide the recipient from the recommendations submitted by the Awards Committee.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Gothic" w:hAnsi="Century Gothic" w:cs="Arial"/>
                <w:sz w:val="24"/>
                <w:szCs w:val="24"/>
              </w:rPr>
            </w:pPr>
            <w:r>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313</Words>
  <Characters>1687</Characters>
  <CharactersWithSpaces>2026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2020-02-25T18:16:10Z</dcterms:created>
  <dc:creator/>
  <dc:description/>
  <dc:language>en-IN</dc:language>
  <cp:lastModifiedBy/>
  <dcterms:modified xsi:type="dcterms:W3CDTF">2020-02-25T18:16:28Z</dcterms:modified>
  <cp:revision>1</cp:revision>
  <dc:subject/>
  <dc:title/>
</cp:coreProperties>
</file>