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80"/>
        <w:jc w:val="both"/>
        <w:rPr/>
      </w:pPr>
      <w:r>
        <w:rPr>
          <w:rFonts w:cs="Arial" w:ascii="Century Gothic" w:hAnsi="Century Gothic"/>
          <w:b/>
          <w:i/>
          <w:iCs/>
          <w:sz w:val="24"/>
          <w:szCs w:val="24"/>
        </w:rPr>
        <w:t>IIM</w:t>
      </w:r>
      <w:bookmarkStart w:id="0" w:name="__DdeLink__4185_4171927125"/>
      <w:r>
        <w:rPr>
          <w:rFonts w:cs="Arial" w:ascii="Century Gothic" w:hAnsi="Century Gothic"/>
          <w:b/>
          <w:i/>
          <w:iCs/>
          <w:sz w:val="24"/>
          <w:szCs w:val="24"/>
        </w:rPr>
        <w:t xml:space="preserve"> NON – FERROUS BEST PERFORMANCE </w:t>
      </w:r>
      <w:bookmarkEnd w:id="0"/>
      <w:r>
        <w:rPr>
          <w:rFonts w:cs="Arial" w:ascii="Century Gothic" w:hAnsi="Century Gothic"/>
          <w:b/>
          <w:i/>
          <w:iCs/>
          <w:sz w:val="24"/>
          <w:szCs w:val="24"/>
        </w:rPr>
        <w:t>AWARD</w:t>
      </w:r>
    </w:p>
    <w:p>
      <w:pPr>
        <w:pStyle w:val="Normal"/>
        <w:spacing w:before="80" w:after="80"/>
        <w:jc w:val="both"/>
        <w:rPr>
          <w:rFonts w:ascii="Century Gothic" w:hAnsi="Century Gothic" w:cs="Arial"/>
          <w:b/>
          <w:b/>
          <w:i/>
          <w:i/>
          <w:iCs/>
          <w:sz w:val="20"/>
        </w:rPr>
      </w:pPr>
      <w:r>
        <w:rPr>
          <w:rFonts w:cs="Arial" w:ascii="Century Gothic" w:hAnsi="Century Gothic"/>
          <w:b/>
          <w:i/>
          <w:iCs/>
          <w:sz w:val="20"/>
        </w:rPr>
      </w:r>
    </w:p>
    <w:p>
      <w:pPr>
        <w:pStyle w:val="Normal"/>
        <w:spacing w:before="80" w:after="80"/>
        <w:jc w:val="both"/>
        <w:rPr/>
      </w:pPr>
      <w:r>
        <w:rPr>
          <w:rFonts w:cs="Arial" w:ascii="Century Gothic" w:hAnsi="Century Gothic"/>
          <w:bCs/>
          <w:sz w:val="20"/>
        </w:rPr>
        <w:t>The Non-Ferrous Division of The Indian Institute of Metals has been organizing the National Quality Competition since 2002 to encourage and recognize Quality Control aspects in the Non – Ferrous sector. The Awards are in the categories of (a) Units / Plants of large integrated production organization, (b) Secondary processing / fabrication plants of Non-Ferrous product, (c) Units engaged in Casting and Forging of Non-Ferrous Metals &amp; their Alloys.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74</Words>
  <Characters>417</Characters>
  <CharactersWithSpaces>491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2020-02-25T18:19:08Z</dcterms:created>
  <dc:creator/>
  <dc:description/>
  <dc:language>en-IN</dc:language>
  <cp:lastModifiedBy/>
  <dcterms:modified xsi:type="dcterms:W3CDTF">2020-02-25T18:19:22Z</dcterms:modified>
  <cp:revision>1</cp:revision>
  <dc:subject/>
  <dc:title/>
</cp:coreProperties>
</file>