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11160" w:type="dxa"/>
        <w:jc w:val="left"/>
        <w:tblInd w:w="-372" w:type="dxa"/>
        <w:tblBorders/>
        <w:tblCellMar>
          <w:top w:w="0" w:type="dxa"/>
          <w:left w:w="108" w:type="dxa"/>
          <w:bottom w:w="0" w:type="dxa"/>
          <w:right w:w="108" w:type="dxa"/>
        </w:tblCellMar>
        <w:tblLook w:noVBand="0" w:val="0000" w:noHBand="0" w:lastColumn="0" w:firstColumn="0" w:lastRow="0" w:firstRow="0"/>
      </w:tblPr>
      <w:tblGrid>
        <w:gridCol w:w="1080"/>
        <w:gridCol w:w="10080"/>
      </w:tblGrid>
      <w:tr>
        <w:trPr/>
        <w:tc>
          <w:tcPr>
            <w:tcW w:w="11160" w:type="dxa"/>
            <w:gridSpan w:val="2"/>
            <w:tcBorders/>
            <w:shd w:fill="auto" w:val="clear"/>
          </w:tcPr>
          <w:p>
            <w:pPr>
              <w:pStyle w:val="Normal"/>
              <w:spacing w:before="20" w:after="160"/>
              <w:ind w:right="2038" w:hanging="0"/>
              <w:jc w:val="center"/>
              <w:rPr>
                <w:rFonts w:ascii="Century Gothic" w:hAnsi="Century Gothic" w:cs="Arial"/>
                <w:sz w:val="24"/>
                <w:szCs w:val="24"/>
              </w:rPr>
            </w:pPr>
            <w:r>
              <w:rPr>
                <w:rFonts w:cs="Arial" w:ascii="Century Gothic" w:hAnsi="Century Gothic"/>
                <w:sz w:val="24"/>
                <w:szCs w:val="24"/>
              </w:rPr>
            </w:r>
          </w:p>
          <w:p>
            <w:pPr>
              <w:pStyle w:val="Normal"/>
              <w:spacing w:before="20" w:after="160"/>
              <w:ind w:right="2038" w:hanging="0"/>
              <w:jc w:val="center"/>
              <w:rPr/>
            </w:pPr>
            <w:r>
              <w:rPr>
                <w:rFonts w:cs="Arial" w:ascii="Century Gothic" w:hAnsi="Century Gothic"/>
                <w:sz w:val="24"/>
                <w:szCs w:val="24"/>
              </w:rPr>
              <w:t>IIM AWARDS</w:t>
            </w:r>
          </w:p>
        </w:tc>
      </w:tr>
      <w:tr>
        <w:trPr/>
        <w:tc>
          <w:tcPr>
            <w:tcW w:w="11160" w:type="dxa"/>
            <w:gridSpan w:val="2"/>
            <w:tcBorders/>
            <w:shd w:fill="auto" w:val="clear"/>
          </w:tcPr>
          <w:p>
            <w:pPr>
              <w:pStyle w:val="Normal"/>
              <w:tabs>
                <w:tab w:val="right" w:pos="329" w:leader="none"/>
                <w:tab w:val="left" w:pos="567" w:leader="none"/>
              </w:tabs>
              <w:spacing w:before="20" w:after="160"/>
              <w:ind w:left="567" w:right="2038" w:hanging="567"/>
              <w:jc w:val="both"/>
              <w:rPr>
                <w:rFonts w:ascii="Century Gothic" w:hAnsi="Century Gothic" w:cs="Arial"/>
                <w:b/>
                <w:b/>
                <w:bCs/>
                <w:i/>
                <w:i/>
                <w:iCs/>
                <w:sz w:val="24"/>
                <w:szCs w:val="24"/>
              </w:rPr>
            </w:pPr>
            <w:r>
              <w:rPr>
                <w:rFonts w:cs="Arial" w:ascii="Century Gothic" w:hAnsi="Century Gothic"/>
                <w:b/>
                <w:bCs/>
                <w:i/>
                <w:iCs/>
                <w:sz w:val="24"/>
                <w:szCs w:val="24"/>
              </w:rPr>
            </w:r>
          </w:p>
        </w:tc>
      </w:tr>
      <w:tr>
        <w:trPr/>
        <w:tc>
          <w:tcPr>
            <w:tcW w:w="108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b/>
                <w:sz w:val="24"/>
                <w:szCs w:val="24"/>
              </w:rPr>
              <w:t>10</w:t>
            </w:r>
            <w:r>
              <w:rPr>
                <w:rFonts w:cs="Arial" w:ascii="Century Gothic" w:hAnsi="Century Gothic"/>
                <w:bCs/>
                <w:sz w:val="20"/>
              </w:rPr>
              <w:t>.</w:t>
            </w:r>
          </w:p>
        </w:tc>
        <w:tc>
          <w:tcPr>
            <w:tcW w:w="10080" w:type="dxa"/>
            <w:tcBorders/>
            <w:shd w:fill="auto" w:val="clear"/>
          </w:tcPr>
          <w:p>
            <w:pPr>
              <w:pStyle w:val="Normal"/>
              <w:tabs>
                <w:tab w:val="right" w:pos="329" w:leader="none"/>
                <w:tab w:val="left" w:pos="567" w:leader="none"/>
              </w:tabs>
              <w:spacing w:before="20" w:after="20"/>
              <w:ind w:left="567" w:right="2038" w:hanging="567"/>
              <w:jc w:val="both"/>
              <w:rPr/>
            </w:pPr>
            <w:r>
              <w:rPr>
                <w:rFonts w:cs="Arial" w:ascii="Century Gothic" w:hAnsi="Century Gothic"/>
                <w:b/>
                <w:bCs/>
                <w:sz w:val="20"/>
              </w:rPr>
              <w:t>Name of the Award</w:t>
            </w:r>
            <w:r>
              <w:rPr>
                <w:rFonts w:cs="Arial" w:ascii="Century Gothic" w:hAnsi="Century Gothic"/>
                <w:b/>
                <w:bCs/>
              </w:rPr>
              <w:t xml:space="preserve">: </w:t>
            </w:r>
            <w:r>
              <w:rPr>
                <w:rFonts w:cs="Arial" w:ascii="Century Gothic" w:hAnsi="Century Gothic"/>
                <w:b/>
                <w:bCs/>
                <w:i/>
                <w:iCs/>
                <w:sz w:val="24"/>
                <w:szCs w:val="24"/>
              </w:rPr>
              <w:t>IIM-</w:t>
            </w:r>
            <w:r>
              <w:rPr>
                <w:rFonts w:ascii="Century Gothic" w:hAnsi="Century Gothic"/>
                <w:b/>
                <w:i/>
                <w:iCs/>
                <w:sz w:val="24"/>
                <w:szCs w:val="24"/>
              </w:rPr>
              <w:t xml:space="preserve"> </w:t>
            </w:r>
            <w:bookmarkStart w:id="0" w:name="__DdeLink__4163_4171927125"/>
            <w:r>
              <w:rPr>
                <w:rFonts w:cs="Arial" w:ascii="Century Gothic" w:hAnsi="Century Gothic"/>
                <w:b/>
                <w:i/>
                <w:iCs/>
                <w:sz w:val="24"/>
                <w:szCs w:val="24"/>
              </w:rPr>
              <w:t xml:space="preserve">NALCO GOLD </w:t>
            </w:r>
            <w:bookmarkEnd w:id="0"/>
            <w:r>
              <w:rPr>
                <w:rFonts w:cs="Arial" w:ascii="Century Gothic" w:hAnsi="Century Gothic"/>
                <w:b/>
                <w:i/>
                <w:iCs/>
                <w:sz w:val="24"/>
                <w:szCs w:val="24"/>
              </w:rPr>
              <w:t>MEDAL</w:t>
            </w:r>
          </w:p>
        </w:tc>
      </w:tr>
      <w:tr>
        <w:trPr/>
        <w:tc>
          <w:tcPr>
            <w:tcW w:w="108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bCs/>
                <w:sz w:val="20"/>
              </w:rPr>
              <w:t>10.1</w:t>
            </w:r>
          </w:p>
        </w:tc>
        <w:tc>
          <w:tcPr>
            <w:tcW w:w="1008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b/>
                <w:sz w:val="20"/>
              </w:rPr>
              <w:t xml:space="preserve">Year Established: </w:t>
            </w:r>
          </w:p>
        </w:tc>
      </w:tr>
      <w:tr>
        <w:trPr/>
        <w:tc>
          <w:tcPr>
            <w:tcW w:w="1080" w:type="dxa"/>
            <w:tcBorders/>
            <w:shd w:fill="auto" w:val="clear"/>
          </w:tcPr>
          <w:p>
            <w:pPr>
              <w:pStyle w:val="Normal"/>
              <w:tabs>
                <w:tab w:val="right" w:pos="369" w:leader="none"/>
                <w:tab w:val="left" w:pos="451" w:leader="none"/>
              </w:tabs>
              <w:spacing w:before="20" w:after="20"/>
              <w:jc w:val="right"/>
              <w:rPr>
                <w:rFonts w:ascii="Century Gothic" w:hAnsi="Century Gothic" w:cs="Arial"/>
                <w:bCs/>
                <w:sz w:val="20"/>
              </w:rPr>
            </w:pPr>
            <w:r>
              <w:rPr>
                <w:rFonts w:cs="Arial" w:ascii="Century Gothic" w:hAnsi="Century Gothic"/>
                <w:bCs/>
                <w:sz w:val="20"/>
              </w:rPr>
            </w:r>
          </w:p>
        </w:tc>
        <w:tc>
          <w:tcPr>
            <w:tcW w:w="1008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sz w:val="20"/>
              </w:rPr>
              <w:t xml:space="preserve">The NALCO Gold Medal was established from 2006 by National Aluminium Co Ltd. in memory of Late Satyabadi Satpathy, former Director (Technical) NALCO. </w:t>
            </w:r>
          </w:p>
        </w:tc>
      </w:tr>
      <w:tr>
        <w:trPr/>
        <w:tc>
          <w:tcPr>
            <w:tcW w:w="108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bCs/>
                <w:sz w:val="20"/>
              </w:rPr>
              <w:t>10.1.1</w:t>
            </w:r>
          </w:p>
        </w:tc>
        <w:tc>
          <w:tcPr>
            <w:tcW w:w="1008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b/>
                <w:sz w:val="20"/>
              </w:rPr>
              <w:t>Periodicity:</w:t>
            </w:r>
          </w:p>
          <w:p>
            <w:pPr>
              <w:pStyle w:val="Normal"/>
              <w:tabs>
                <w:tab w:val="right" w:pos="369" w:leader="none"/>
                <w:tab w:val="left" w:pos="451" w:leader="none"/>
              </w:tabs>
              <w:spacing w:before="20" w:after="20"/>
              <w:jc w:val="both"/>
              <w:rPr/>
            </w:pPr>
            <w:r>
              <w:rPr>
                <w:rFonts w:cs="Arial" w:ascii="Century Gothic" w:hAnsi="Century Gothic"/>
                <w:sz w:val="20"/>
              </w:rPr>
              <w:t>Only one award will be made each year.</w:t>
            </w:r>
          </w:p>
        </w:tc>
      </w:tr>
      <w:tr>
        <w:trPr/>
        <w:tc>
          <w:tcPr>
            <w:tcW w:w="108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bCs/>
                <w:sz w:val="20"/>
              </w:rPr>
              <w:t>10.1.2</w:t>
            </w:r>
          </w:p>
        </w:tc>
        <w:tc>
          <w:tcPr>
            <w:tcW w:w="1008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sz w:val="20"/>
              </w:rPr>
              <w:t>In the absence of a suitable candidate in the year under consideration, the Council may not give the award that year.</w:t>
            </w:r>
          </w:p>
        </w:tc>
      </w:tr>
      <w:tr>
        <w:trPr/>
        <w:tc>
          <w:tcPr>
            <w:tcW w:w="108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bCs/>
                <w:sz w:val="20"/>
              </w:rPr>
              <w:t>10.1.3</w:t>
            </w:r>
          </w:p>
        </w:tc>
        <w:tc>
          <w:tcPr>
            <w:tcW w:w="1008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b/>
                <w:sz w:val="20"/>
              </w:rPr>
              <w:t>Posthumous Selection:</w:t>
            </w:r>
          </w:p>
          <w:p>
            <w:pPr>
              <w:pStyle w:val="Normal"/>
              <w:spacing w:before="20" w:after="20"/>
              <w:jc w:val="both"/>
              <w:rPr/>
            </w:pPr>
            <w:r>
              <w:rPr>
                <w:rFonts w:cs="Arial" w:ascii="Century Gothic" w:hAnsi="Century Gothic"/>
                <w:sz w:val="20"/>
              </w:rPr>
              <w:t>The award shall not include posthumous selection.</w:t>
            </w:r>
          </w:p>
        </w:tc>
      </w:tr>
      <w:tr>
        <w:trPr/>
        <w:tc>
          <w:tcPr>
            <w:tcW w:w="108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bCs/>
                <w:sz w:val="20"/>
              </w:rPr>
              <w:t>10.1.4</w:t>
            </w:r>
          </w:p>
        </w:tc>
        <w:tc>
          <w:tcPr>
            <w:tcW w:w="1008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b/>
                <w:sz w:val="20"/>
              </w:rPr>
              <w:t>Description of the Medal</w:t>
            </w:r>
            <w:r>
              <w:rPr>
                <w:rFonts w:cs="Arial" w:ascii="Century Gothic" w:hAnsi="Century Gothic"/>
                <w:sz w:val="20"/>
              </w:rPr>
              <w:t xml:space="preserve"> :</w:t>
            </w:r>
          </w:p>
          <w:p>
            <w:pPr>
              <w:pStyle w:val="Normal"/>
              <w:tabs>
                <w:tab w:val="right" w:pos="369" w:leader="none"/>
                <w:tab w:val="left" w:pos="451" w:leader="none"/>
              </w:tabs>
              <w:spacing w:before="20" w:after="20"/>
              <w:jc w:val="both"/>
              <w:rPr/>
            </w:pPr>
            <w:r>
              <w:rPr>
                <w:rFonts w:cs="Arial" w:ascii="Century Gothic" w:hAnsi="Century Gothic"/>
                <w:sz w:val="20"/>
              </w:rPr>
              <w:t>Gold medal accompanied with a scroll of Honor. On one side of the medal will be inscribed the Institute’s crest with the words ‘‘ NALCO Gold Medal” on the periphery of the circular medal, whereas the other side will contain the name of the recipient, field of contribution and the year of award.</w:t>
            </w:r>
          </w:p>
        </w:tc>
      </w:tr>
      <w:tr>
        <w:trPr/>
        <w:tc>
          <w:tcPr>
            <w:tcW w:w="108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bCs/>
                <w:sz w:val="20"/>
              </w:rPr>
              <w:t>10.2</w:t>
            </w:r>
          </w:p>
        </w:tc>
        <w:tc>
          <w:tcPr>
            <w:tcW w:w="10080" w:type="dxa"/>
            <w:tcBorders/>
            <w:shd w:fill="auto" w:val="clear"/>
          </w:tcPr>
          <w:p>
            <w:pPr>
              <w:pStyle w:val="Normal"/>
              <w:tabs>
                <w:tab w:val="right" w:pos="329" w:leader="none"/>
                <w:tab w:val="left" w:pos="567" w:leader="none"/>
              </w:tabs>
              <w:spacing w:before="20" w:after="20"/>
              <w:ind w:left="567" w:right="2038" w:hanging="567"/>
              <w:jc w:val="both"/>
              <w:rPr/>
            </w:pPr>
            <w:r>
              <w:rPr>
                <w:rFonts w:cs="Arial" w:ascii="Century Gothic" w:hAnsi="Century Gothic"/>
                <w:b/>
                <w:sz w:val="20"/>
              </w:rPr>
              <w:t>Purpose of the Award:</w:t>
            </w:r>
          </w:p>
        </w:tc>
      </w:tr>
      <w:tr>
        <w:trPr/>
        <w:tc>
          <w:tcPr>
            <w:tcW w:w="108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bCs/>
                <w:sz w:val="20"/>
              </w:rPr>
              <w:t>10.2.1</w:t>
            </w:r>
          </w:p>
        </w:tc>
        <w:tc>
          <w:tcPr>
            <w:tcW w:w="10080" w:type="dxa"/>
            <w:tcBorders/>
            <w:shd w:fill="auto" w:val="clear"/>
          </w:tcPr>
          <w:p>
            <w:pPr>
              <w:pStyle w:val="Normal"/>
              <w:tabs>
                <w:tab w:val="right" w:pos="329" w:leader="none"/>
                <w:tab w:val="left" w:pos="567" w:leader="none"/>
              </w:tabs>
              <w:spacing w:before="20" w:after="20"/>
              <w:jc w:val="both"/>
              <w:rPr/>
            </w:pPr>
            <w:r>
              <w:rPr>
                <w:rFonts w:cs="Arial" w:ascii="Century Gothic" w:hAnsi="Century Gothic"/>
                <w:sz w:val="20"/>
              </w:rPr>
              <w:t>To Honor an outstanding professional for distinguished contributions to the Aluminium Industry, based on Research / Production in the field of Bauxite, Alumina, Aluminium and its products in India.</w:t>
            </w:r>
          </w:p>
        </w:tc>
      </w:tr>
      <w:tr>
        <w:trPr/>
        <w:tc>
          <w:tcPr>
            <w:tcW w:w="108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bCs/>
                <w:sz w:val="20"/>
              </w:rPr>
              <w:t>10.3</w:t>
            </w:r>
          </w:p>
        </w:tc>
        <w:tc>
          <w:tcPr>
            <w:tcW w:w="10080" w:type="dxa"/>
            <w:tcBorders/>
            <w:shd w:fill="auto" w:val="clear"/>
          </w:tcPr>
          <w:p>
            <w:pPr>
              <w:pStyle w:val="Normal"/>
              <w:tabs>
                <w:tab w:val="right" w:pos="329" w:leader="none"/>
                <w:tab w:val="left" w:pos="567" w:leader="none"/>
              </w:tabs>
              <w:spacing w:before="20" w:after="20"/>
              <w:jc w:val="both"/>
              <w:rPr/>
            </w:pPr>
            <w:r>
              <w:rPr>
                <w:rFonts w:cs="Arial" w:ascii="Century Gothic" w:hAnsi="Century Gothic"/>
                <w:b/>
                <w:sz w:val="20"/>
              </w:rPr>
              <w:t>Eligibility :</w:t>
            </w:r>
          </w:p>
        </w:tc>
      </w:tr>
      <w:tr>
        <w:trPr/>
        <w:tc>
          <w:tcPr>
            <w:tcW w:w="108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bCs/>
                <w:sz w:val="20"/>
              </w:rPr>
              <w:t>10.3.1</w:t>
            </w:r>
          </w:p>
        </w:tc>
        <w:tc>
          <w:tcPr>
            <w:tcW w:w="1008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b/>
                <w:bCs/>
                <w:sz w:val="20"/>
              </w:rPr>
              <w:t>Contributions &amp; Achievements :</w:t>
            </w:r>
          </w:p>
        </w:tc>
      </w:tr>
      <w:tr>
        <w:trPr/>
        <w:tc>
          <w:tcPr>
            <w:tcW w:w="108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bCs/>
                <w:sz w:val="20"/>
              </w:rPr>
              <w:t>10.3.2</w:t>
            </w:r>
          </w:p>
        </w:tc>
        <w:tc>
          <w:tcPr>
            <w:tcW w:w="1008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sz w:val="20"/>
              </w:rPr>
              <w:t>Persons of eminence are eligible for this award.</w:t>
            </w:r>
          </w:p>
        </w:tc>
      </w:tr>
      <w:tr>
        <w:trPr/>
        <w:tc>
          <w:tcPr>
            <w:tcW w:w="108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bCs/>
                <w:sz w:val="20"/>
              </w:rPr>
              <w:t>10.3.3</w:t>
            </w:r>
          </w:p>
        </w:tc>
        <w:tc>
          <w:tcPr>
            <w:tcW w:w="1008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sz w:val="20"/>
              </w:rPr>
              <w:t>Candidates should be an outstanding professional for distinguished contributions to the Aluminium Industry, based on Research / Production in the field of Bauxite, Alumina, Aluminium and its products in India.</w:t>
            </w:r>
          </w:p>
        </w:tc>
      </w:tr>
      <w:tr>
        <w:trPr/>
        <w:tc>
          <w:tcPr>
            <w:tcW w:w="108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bCs/>
                <w:sz w:val="20"/>
              </w:rPr>
              <w:t>10.3.4</w:t>
            </w:r>
          </w:p>
        </w:tc>
        <w:tc>
          <w:tcPr>
            <w:tcW w:w="1008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bCs/>
                <w:sz w:val="20"/>
              </w:rPr>
              <w:t xml:space="preserve">IIM Membership :  </w:t>
            </w:r>
            <w:r>
              <w:rPr>
                <w:rFonts w:cs="Arial" w:ascii="Century Gothic" w:hAnsi="Century Gothic"/>
                <w:b/>
                <w:sz w:val="20"/>
              </w:rPr>
              <w:t>Mandatory</w:t>
            </w:r>
            <w:r>
              <w:rPr>
                <w:rFonts w:cs="Arial" w:ascii="Century Gothic" w:hAnsi="Century Gothic"/>
                <w:bCs/>
                <w:sz w:val="20"/>
              </w:rPr>
              <w:t>.</w:t>
            </w:r>
          </w:p>
        </w:tc>
      </w:tr>
      <w:tr>
        <w:trPr/>
        <w:tc>
          <w:tcPr>
            <w:tcW w:w="1080" w:type="dxa"/>
            <w:tcBorders/>
            <w:shd w:fill="auto" w:val="clear"/>
          </w:tcPr>
          <w:p>
            <w:pPr>
              <w:pStyle w:val="Normal"/>
              <w:tabs>
                <w:tab w:val="right" w:pos="329" w:leader="none"/>
                <w:tab w:val="left" w:pos="567" w:leader="none"/>
              </w:tabs>
              <w:spacing w:before="20" w:after="20"/>
              <w:jc w:val="right"/>
              <w:rPr/>
            </w:pPr>
            <w:r>
              <w:rPr>
                <w:rFonts w:cs="Arial" w:ascii="Century Gothic" w:hAnsi="Century Gothic"/>
                <w:bCs/>
                <w:sz w:val="20"/>
              </w:rPr>
              <w:t>10.3.5</w:t>
            </w:r>
          </w:p>
        </w:tc>
        <w:tc>
          <w:tcPr>
            <w:tcW w:w="1008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bCs/>
                <w:sz w:val="20"/>
              </w:rPr>
              <w:t>Singular / Joint Award : Singular.</w:t>
            </w:r>
            <w:r>
              <w:rPr>
                <w:rFonts w:cs="Arial" w:ascii="Century Gothic" w:hAnsi="Century Gothic"/>
                <w:b/>
                <w:bCs/>
                <w:sz w:val="20"/>
              </w:rPr>
              <w:t xml:space="preserve"> </w:t>
            </w:r>
          </w:p>
        </w:tc>
      </w:tr>
      <w:tr>
        <w:trPr/>
        <w:tc>
          <w:tcPr>
            <w:tcW w:w="108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bCs/>
                <w:sz w:val="20"/>
              </w:rPr>
              <w:t>10.3.6</w:t>
            </w:r>
          </w:p>
        </w:tc>
        <w:tc>
          <w:tcPr>
            <w:tcW w:w="1008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b/>
                <w:bCs/>
                <w:sz w:val="20"/>
              </w:rPr>
              <w:t xml:space="preserve">Age: </w:t>
            </w:r>
            <w:r>
              <w:rPr>
                <w:rFonts w:cs="Arial" w:ascii="Century Gothic" w:hAnsi="Century Gothic"/>
                <w:sz w:val="20"/>
              </w:rPr>
              <w:t>Open.</w:t>
            </w:r>
          </w:p>
        </w:tc>
      </w:tr>
      <w:tr>
        <w:trPr/>
        <w:tc>
          <w:tcPr>
            <w:tcW w:w="108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bCs/>
                <w:sz w:val="20"/>
              </w:rPr>
              <w:t>10.3.7</w:t>
            </w:r>
          </w:p>
        </w:tc>
        <w:tc>
          <w:tcPr>
            <w:tcW w:w="1008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b/>
                <w:bCs/>
                <w:sz w:val="20"/>
              </w:rPr>
              <w:t xml:space="preserve">Qualifications: Preferred : </w:t>
            </w:r>
            <w:r>
              <w:rPr>
                <w:rFonts w:ascii="Century Gothic" w:hAnsi="Century Gothic"/>
                <w:bCs/>
                <w:sz w:val="20"/>
              </w:rPr>
              <w:t>Bachelor’s degree in Metallurgy / Engineering / Materials Science or equivalent, or any degree relevant to Metallurgy / Materials Science profession.</w:t>
            </w:r>
          </w:p>
        </w:tc>
      </w:tr>
      <w:tr>
        <w:trPr/>
        <w:tc>
          <w:tcPr>
            <w:tcW w:w="108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bCs/>
                <w:sz w:val="20"/>
              </w:rPr>
              <w:t>10.3.8</w:t>
            </w:r>
          </w:p>
        </w:tc>
        <w:tc>
          <w:tcPr>
            <w:tcW w:w="1008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sz w:val="20"/>
              </w:rPr>
              <w:t xml:space="preserve">The award is limited to </w:t>
            </w:r>
            <w:r>
              <w:rPr>
                <w:rFonts w:cs="Arial" w:ascii="Century Gothic" w:hAnsi="Century Gothic"/>
                <w:b/>
                <w:bCs/>
                <w:sz w:val="20"/>
              </w:rPr>
              <w:t>Indian citizens</w:t>
            </w:r>
            <w:r>
              <w:rPr>
                <w:rFonts w:cs="Arial" w:ascii="Century Gothic" w:hAnsi="Century Gothic"/>
                <w:sz w:val="20"/>
              </w:rPr>
              <w:t xml:space="preserve"> only.</w:t>
            </w:r>
          </w:p>
        </w:tc>
      </w:tr>
      <w:tr>
        <w:trPr/>
        <w:tc>
          <w:tcPr>
            <w:tcW w:w="1080" w:type="dxa"/>
            <w:tcBorders/>
            <w:shd w:fill="auto" w:val="clear"/>
          </w:tcPr>
          <w:p>
            <w:pPr>
              <w:pStyle w:val="Normal"/>
              <w:tabs>
                <w:tab w:val="right" w:pos="369" w:leader="none"/>
                <w:tab w:val="left" w:pos="451" w:leader="none"/>
              </w:tabs>
              <w:spacing w:before="20" w:after="20"/>
              <w:rPr/>
            </w:pPr>
            <w:r>
              <w:rPr>
                <w:rFonts w:cs="Arial" w:ascii="Century Gothic" w:hAnsi="Century Gothic"/>
                <w:bCs/>
                <w:sz w:val="20"/>
              </w:rPr>
              <w:t>10.4</w:t>
            </w:r>
          </w:p>
        </w:tc>
        <w:tc>
          <w:tcPr>
            <w:tcW w:w="10080" w:type="dxa"/>
            <w:tcBorders/>
            <w:shd w:fill="auto" w:val="clear"/>
          </w:tcPr>
          <w:p>
            <w:pPr>
              <w:pStyle w:val="Normal"/>
              <w:tabs>
                <w:tab w:val="right" w:pos="329" w:leader="none"/>
                <w:tab w:val="left" w:pos="567" w:leader="none"/>
              </w:tabs>
              <w:spacing w:before="20" w:after="20"/>
              <w:ind w:left="567" w:right="2038" w:hanging="567"/>
              <w:jc w:val="both"/>
              <w:rPr/>
            </w:pPr>
            <w:r>
              <w:rPr>
                <w:rFonts w:cs="Arial" w:ascii="Century Gothic" w:hAnsi="Century Gothic"/>
                <w:b/>
                <w:bCs/>
                <w:sz w:val="20"/>
              </w:rPr>
              <w:t>Nominations:</w:t>
            </w:r>
            <w:r>
              <w:rPr>
                <w:rFonts w:cs="Arial" w:ascii="Century Gothic" w:hAnsi="Century Gothic"/>
                <w:bCs/>
                <w:sz w:val="20"/>
              </w:rPr>
              <w:t xml:space="preserve"> </w:t>
            </w:r>
            <w:r>
              <w:rPr>
                <w:rFonts w:cs="Arial" w:ascii="Century Gothic" w:hAnsi="Century Gothic"/>
                <w:b/>
                <w:bCs/>
                <w:sz w:val="20"/>
              </w:rPr>
              <w:t>Singular</w:t>
            </w:r>
            <w:r>
              <w:rPr>
                <w:rFonts w:cs="Arial" w:ascii="Century Gothic" w:hAnsi="Century Gothic"/>
                <w:bCs/>
                <w:sz w:val="20"/>
              </w:rPr>
              <w:t>.</w:t>
            </w:r>
          </w:p>
        </w:tc>
      </w:tr>
      <w:tr>
        <w:trPr/>
        <w:tc>
          <w:tcPr>
            <w:tcW w:w="108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bCs/>
                <w:sz w:val="20"/>
              </w:rPr>
              <w:t>10.4.1</w:t>
            </w:r>
          </w:p>
        </w:tc>
        <w:tc>
          <w:tcPr>
            <w:tcW w:w="1008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sz w:val="20"/>
              </w:rPr>
              <w:tab/>
              <w:t>Candidates for the award will be nominated by the Honorary Members, Council Members, Chapters, Patron Members, Donor Members, Sustaining Members, Government, Institutions and Technical Institutes.</w:t>
            </w:r>
          </w:p>
        </w:tc>
      </w:tr>
      <w:tr>
        <w:trPr/>
        <w:tc>
          <w:tcPr>
            <w:tcW w:w="108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bCs/>
                <w:sz w:val="20"/>
              </w:rPr>
              <w:t>10.4.2</w:t>
            </w:r>
          </w:p>
        </w:tc>
        <w:tc>
          <w:tcPr>
            <w:tcW w:w="1008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sz w:val="20"/>
              </w:rPr>
              <w:t xml:space="preserve">The nominations are invited in the prescribed format by the Secretary General of the Institute.  </w:t>
            </w:r>
          </w:p>
        </w:tc>
      </w:tr>
      <w:tr>
        <w:trPr/>
        <w:tc>
          <w:tcPr>
            <w:tcW w:w="108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bCs/>
                <w:sz w:val="20"/>
              </w:rPr>
              <w:t>10.5</w:t>
            </w:r>
          </w:p>
        </w:tc>
        <w:tc>
          <w:tcPr>
            <w:tcW w:w="10080" w:type="dxa"/>
            <w:tcBorders/>
            <w:shd w:fill="auto" w:val="clear"/>
          </w:tcPr>
          <w:p>
            <w:pPr>
              <w:pStyle w:val="Normal"/>
              <w:tabs>
                <w:tab w:val="right" w:pos="329" w:leader="none"/>
                <w:tab w:val="left" w:pos="567" w:leader="none"/>
              </w:tabs>
              <w:spacing w:before="20" w:after="20"/>
              <w:ind w:left="567" w:right="2038" w:hanging="567"/>
              <w:jc w:val="both"/>
              <w:rPr/>
            </w:pPr>
            <w:r>
              <w:rPr>
                <w:rFonts w:cs="Arial" w:ascii="Century Gothic" w:hAnsi="Century Gothic"/>
                <w:b/>
                <w:bCs/>
                <w:sz w:val="20"/>
              </w:rPr>
              <w:t>Presentation :</w:t>
            </w:r>
          </w:p>
        </w:tc>
      </w:tr>
      <w:tr>
        <w:trPr/>
        <w:tc>
          <w:tcPr>
            <w:tcW w:w="108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bCs/>
                <w:sz w:val="20"/>
              </w:rPr>
              <w:t>10.5.1</w:t>
            </w:r>
          </w:p>
        </w:tc>
        <w:tc>
          <w:tcPr>
            <w:tcW w:w="10080" w:type="dxa"/>
            <w:tcBorders/>
            <w:shd w:fill="auto" w:val="clear"/>
          </w:tcPr>
          <w:p>
            <w:pPr>
              <w:pStyle w:val="Normal"/>
              <w:tabs>
                <w:tab w:val="right" w:pos="329" w:leader="none"/>
                <w:tab w:val="left" w:pos="447" w:leader="none"/>
                <w:tab w:val="left" w:pos="567" w:leader="none"/>
                <w:tab w:val="left" w:pos="6264" w:leader="none"/>
              </w:tabs>
              <w:spacing w:before="20" w:after="20"/>
              <w:jc w:val="both"/>
              <w:rPr/>
            </w:pPr>
            <w:r>
              <w:rPr>
                <w:rFonts w:cs="Arial" w:ascii="Century Gothic" w:hAnsi="Century Gothic"/>
                <w:sz w:val="20"/>
              </w:rPr>
              <w:t>The NALCO Gold Medal accompanied with a scroll of Honor  will be formally presented to the recipient during the Annual Technical Meeting of the Indian Institute of Metals.</w:t>
            </w:r>
          </w:p>
        </w:tc>
      </w:tr>
      <w:tr>
        <w:trPr/>
        <w:tc>
          <w:tcPr>
            <w:tcW w:w="1080" w:type="dxa"/>
            <w:tcBorders/>
            <w:shd w:fill="auto" w:val="clear"/>
          </w:tcPr>
          <w:p>
            <w:pPr>
              <w:pStyle w:val="Normal"/>
              <w:tabs>
                <w:tab w:val="right" w:pos="369" w:leader="none"/>
                <w:tab w:val="left" w:pos="451" w:leader="none"/>
              </w:tabs>
              <w:spacing w:before="20" w:after="20"/>
              <w:jc w:val="both"/>
              <w:rPr/>
            </w:pPr>
            <w:r>
              <w:rPr>
                <w:rFonts w:cs="Arial" w:ascii="Century Gothic" w:hAnsi="Century Gothic"/>
                <w:bCs/>
                <w:sz w:val="20"/>
              </w:rPr>
              <w:t>10.6</w:t>
            </w:r>
          </w:p>
        </w:tc>
        <w:tc>
          <w:tcPr>
            <w:tcW w:w="10080" w:type="dxa"/>
            <w:tcBorders/>
            <w:shd w:fill="auto" w:val="clear"/>
          </w:tcPr>
          <w:p>
            <w:pPr>
              <w:pStyle w:val="Normal"/>
              <w:tabs>
                <w:tab w:val="right" w:pos="329" w:leader="none"/>
                <w:tab w:val="left" w:pos="567" w:leader="none"/>
              </w:tabs>
              <w:spacing w:before="20" w:after="20"/>
              <w:ind w:left="567" w:right="2038" w:hanging="567"/>
              <w:rPr/>
            </w:pPr>
            <w:r>
              <w:rPr>
                <w:rFonts w:cs="Arial" w:ascii="Century Gothic" w:hAnsi="Century Gothic"/>
                <w:b/>
                <w:bCs/>
                <w:sz w:val="20"/>
              </w:rPr>
              <w:t>Selection Committee Guidelines:</w:t>
            </w:r>
          </w:p>
        </w:tc>
      </w:tr>
      <w:tr>
        <w:trPr/>
        <w:tc>
          <w:tcPr>
            <w:tcW w:w="108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bCs/>
                <w:sz w:val="20"/>
              </w:rPr>
              <w:t>10.6.1</w:t>
            </w:r>
          </w:p>
        </w:tc>
        <w:tc>
          <w:tcPr>
            <w:tcW w:w="10080" w:type="dxa"/>
            <w:tcBorders/>
            <w:shd w:fill="auto" w:val="clear"/>
          </w:tcPr>
          <w:p>
            <w:pPr>
              <w:pStyle w:val="Normal"/>
              <w:tabs>
                <w:tab w:val="right" w:pos="329" w:leader="none"/>
                <w:tab w:val="left" w:pos="567" w:leader="none"/>
              </w:tabs>
              <w:spacing w:before="20" w:after="20"/>
              <w:jc w:val="both"/>
              <w:rPr/>
            </w:pPr>
            <w:r>
              <w:rPr>
                <w:rFonts w:cs="Arial" w:ascii="Century Gothic" w:hAnsi="Century Gothic"/>
                <w:bCs/>
                <w:sz w:val="20"/>
              </w:rPr>
              <w:t>The IIM Awards committee as approved by the Council shall meet to consider the nominations received and make its recommendations to the National Council.</w:t>
            </w:r>
          </w:p>
        </w:tc>
      </w:tr>
      <w:tr>
        <w:trPr/>
        <w:tc>
          <w:tcPr>
            <w:tcW w:w="1080" w:type="dxa"/>
            <w:tcBorders/>
            <w:shd w:fill="auto" w:val="clear"/>
          </w:tcPr>
          <w:p>
            <w:pPr>
              <w:pStyle w:val="Normal"/>
              <w:tabs>
                <w:tab w:val="right" w:pos="369" w:leader="none"/>
                <w:tab w:val="left" w:pos="451" w:leader="none"/>
              </w:tabs>
              <w:spacing w:before="20" w:after="20"/>
              <w:jc w:val="right"/>
              <w:rPr/>
            </w:pPr>
            <w:r>
              <w:rPr>
                <w:rFonts w:cs="Arial" w:ascii="Century Gothic" w:hAnsi="Century Gothic"/>
                <w:bCs/>
                <w:sz w:val="20"/>
              </w:rPr>
              <w:t>10.6.2</w:t>
            </w:r>
          </w:p>
        </w:tc>
        <w:tc>
          <w:tcPr>
            <w:tcW w:w="10080" w:type="dxa"/>
            <w:tcBorders/>
            <w:shd w:fill="auto" w:val="clear"/>
          </w:tcPr>
          <w:p>
            <w:pPr>
              <w:pStyle w:val="Heading2"/>
              <w:tabs>
                <w:tab w:val="clear" w:pos="306"/>
              </w:tabs>
              <w:spacing w:lineRule="auto" w:line="240" w:before="20" w:after="20"/>
              <w:rPr/>
            </w:pPr>
            <w:r>
              <w:rPr>
                <w:rFonts w:cs="Arial" w:ascii="Century Gothic" w:hAnsi="Century Gothic"/>
                <w:b w:val="false"/>
                <w:bCs/>
                <w:sz w:val="20"/>
              </w:rPr>
              <w:t>The Council of The Indian Institute of Metals will be the sole authority to decide the recipient from the recommendations submitted by the Awards Committee.</w:t>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Century Gothic">
    <w:charset w:val="01"/>
    <w:family w:val="roman"/>
    <w:pitch w:val="variable"/>
  </w:font>
</w:fonts>
</file>

<file path=word/settings.xml><?xml version="1.0" encoding="utf-8"?>
<w:settings xmlns:w="http://schemas.openxmlformats.org/wordprocessingml/2006/main">
  <w:zoom w:percent="72"/>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en-IN" w:eastAsia="zh-CN" w:bidi="hi-IN"/>
      </w:rPr>
    </w:rPrDefault>
    <w:pPrDefault>
      <w:pPr>
        <w:widowControl/>
      </w:pPr>
    </w:pPrDefault>
  </w:docDefaults>
  <w:style w:type="paragraph" w:styleId="Normal">
    <w:name w:val="Normal"/>
    <w:qFormat/>
    <w:pPr>
      <w:widowControl/>
    </w:pPr>
    <w:rPr>
      <w:rFonts w:ascii="Liberation Serif" w:hAnsi="Liberation Serif" w:eastAsia="Noto Sans CJK SC" w:cs="Lohit Devanagari"/>
      <w:color w:val="auto"/>
      <w:kern w:val="2"/>
      <w:sz w:val="24"/>
      <w:szCs w:val="24"/>
      <w:lang w:val="en-IN" w:eastAsia="zh-CN" w:bidi="hi-IN"/>
    </w:rPr>
  </w:style>
  <w:style w:type="paragraph" w:styleId="Heading2">
    <w:name w:val="Heading 2"/>
    <w:basedOn w:val="Normal"/>
    <w:next w:val="Normal"/>
    <w:qFormat/>
    <w:pPr>
      <w:keepNext w:val="true"/>
      <w:tabs>
        <w:tab w:val="left" w:pos="306" w:leader="none"/>
      </w:tabs>
      <w:spacing w:lineRule="atLeast" w:line="280" w:before="0" w:after="283"/>
      <w:jc w:val="both"/>
      <w:outlineLvl w:val="1"/>
    </w:pPr>
    <w:rPr>
      <w:rFonts w:ascii="Times New Roman" w:hAnsi="Times New Roman" w:eastAsia="Times New Roman" w:cs="Times New Roman"/>
      <w:b/>
      <w:sz w:val="21"/>
      <w:szCs w:val="20"/>
      <w:lang w:val="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402</Words>
  <Characters>2210</Characters>
  <CharactersWithSpaces>2565</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2020-02-25T18:13:11Z</dcterms:created>
  <dc:creator/>
  <dc:description/>
  <dc:language>en-IN</dc:language>
  <cp:lastModifiedBy/>
  <dcterms:modified xsi:type="dcterms:W3CDTF">2020-02-25T18:13:30Z</dcterms:modified>
  <cp:revision>1</cp:revision>
  <dc:subject/>
  <dc:title/>
</cp:coreProperties>
</file>