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296" w:type="dxa"/>
        <w:jc w:val="left"/>
        <w:tblInd w:w="-19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542"/>
        <w:gridCol w:w="9754"/>
      </w:tblGrid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b/>
                <w:lang w:val="en-US"/>
              </w:rPr>
              <w:t>2.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  <w:lang w:val="en-US"/>
              </w:rPr>
              <w:t>IIM FELLOW MEMBERSHIP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>Year Established: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ab/>
              <w:t xml:space="preserve">The </w:t>
            </w: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 xml:space="preserve">IIM Fellow membership was </w:t>
            </w: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established in 1992-93.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 xml:space="preserve">Periodicity: </w:t>
            </w: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Annual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The council has directed that in any year, Fellows can   be elected up to a maximum limit of ten in a year.</w:t>
              <w:tab/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2.1.4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>Posthumous Selection:</w:t>
            </w:r>
          </w:p>
          <w:p>
            <w:pPr>
              <w:pStyle w:val="Normal"/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The award shall not include posthumous selection.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2.1.5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>Description of the Plaque</w:t>
            </w: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A plaque with citation inscribed describing the field of contribution and the year of award.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2.2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>Purpose of the Award: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 xml:space="preserve">To recognize </w:t>
            </w:r>
            <w:r>
              <w:rPr>
                <w:rFonts w:cs="Arial" w:ascii="Century Gothic" w:hAnsi="Century Gothic"/>
                <w:sz w:val="20"/>
                <w:szCs w:val="20"/>
              </w:rPr>
              <w:t>a person of eminence in the profession who has significantly contributed in metallurgy and materials science including metals industry and academia of value / relevance in India with 15 (fifteen) years of professional experience</w:t>
            </w: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 xml:space="preserve"> 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2.3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  <w:szCs w:val="20"/>
                <w:lang w:val="en-US"/>
              </w:rPr>
              <w:t>Eligibility :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Contributions &amp; Achievements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</w:rPr>
              <w:t xml:space="preserve">Nominee will be a person of eminence in the profession who has significantly contributed in metallurgy and materials science including metals industry and academia of value / relevance in India </w:t>
            </w: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2.3.2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</w:rPr>
              <w:t xml:space="preserve">Professional Experience: Minimum 15 years professional experience 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2.3.3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Citizenship :</w:t>
            </w: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 xml:space="preserve"> Open.  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2.3.4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IIM Membership</w:t>
            </w: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 xml:space="preserve"> :  </w:t>
            </w: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Not Mandatory</w:t>
            </w: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2.3.5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Singular / Joint Award :</w:t>
            </w: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 xml:space="preserve">Singular. 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2.3.6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 xml:space="preserve">Age: 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Open.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2.3.7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 xml:space="preserve">Qualifications: Preferred : 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2.4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ind w:left="567" w:right="2038" w:hanging="567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Nominations:  Singular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2.4 1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</w:rPr>
              <w:t xml:space="preserve">Fellows to be nominated by the Honorary Members, President, Vice Presidents, Life Fellows and Fellows of the Institute. 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</w:rPr>
              <w:t xml:space="preserve">To be proposed by one of the above and seconded by another 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2.5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ind w:left="562" w:right="2045" w:hanging="562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Presentation :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2.5.1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447" w:leader="none"/>
                <w:tab w:val="left" w:pos="567" w:leader="none"/>
                <w:tab w:val="left" w:pos="6264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 xml:space="preserve">The IIM Fellowship Plaque, with citation inscribed, will be presented to the recipient during the Annual Technical Meeting of the Indian Institute of Metals. 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2.6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ind w:left="567" w:right="2038" w:hanging="567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  <w:szCs w:val="20"/>
                <w:lang w:val="en-US"/>
              </w:rPr>
              <w:t>Selection Committee Guidelines: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2.6.1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lineRule="auto" w:line="240"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The IIM Awards Committee as approved by the Council shall meet to consider the nominations received and make its recommendations to the National Council.</w:t>
            </w:r>
          </w:p>
        </w:tc>
      </w:tr>
      <w:tr>
        <w:trPr/>
        <w:tc>
          <w:tcPr>
            <w:tcW w:w="1542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uto" w:line="240"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  <w:szCs w:val="20"/>
                <w:lang w:val="en-US"/>
              </w:rPr>
              <w:t>2.6.2</w:t>
            </w:r>
          </w:p>
        </w:tc>
        <w:tc>
          <w:tcPr>
            <w:tcW w:w="9754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right" w:pos="1247" w:leader="none"/>
                <w:tab w:val="left" w:pos="1474" w:leader="none"/>
              </w:tabs>
              <w:spacing w:lineRule="auto" w:line="240" w:before="40" w:after="40"/>
              <w:jc w:val="both"/>
              <w:outlineLvl w:val="1"/>
              <w:rPr/>
            </w:pPr>
            <w:r>
              <w:rPr>
                <w:rFonts w:cs="Arial" w:ascii="Century Gothic" w:hAnsi="Century Gothic"/>
                <w:bCs/>
                <w:sz w:val="20"/>
                <w:szCs w:val="20"/>
                <w:lang w:val="en-US"/>
              </w:rPr>
              <w:t>The National Council of The Indian Institute of Metals will be the sole authority to decide the recipients from the recommendations submitted by the IIM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LibreOffice/6.0.7.3$Linux_X86_64 LibreOffice_project/00m0$Build-3</Application>
  <Pages>1</Pages>
  <Words>348</Words>
  <Characters>1891</Characters>
  <CharactersWithSpaces>2199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2020-02-25T17:23:05Z</dcterms:created>
  <dc:creator/>
  <dc:description/>
  <dc:language>en-IN</dc:language>
  <cp:lastModifiedBy/>
  <dcterms:modified xsi:type="dcterms:W3CDTF">2020-02-25T18:07:46Z</dcterms:modified>
  <cp:revision>1</cp:revision>
  <dc:subject/>
  <dc:title/>
</cp:coreProperties>
</file>